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F7270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0F7270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C41A6C">
        <w:rPr>
          <w:rFonts w:ascii="Century" w:eastAsia="Calibri" w:hAnsi="Century"/>
          <w:b/>
          <w:sz w:val="32"/>
          <w:szCs w:val="36"/>
        </w:rPr>
        <w:t>23/34-6</w:t>
      </w:r>
      <w:r w:rsidR="00C41A6C">
        <w:rPr>
          <w:rFonts w:ascii="Century" w:eastAsia="Calibri" w:hAnsi="Century"/>
          <w:b/>
          <w:sz w:val="32"/>
          <w:szCs w:val="36"/>
          <w:lang w:val="uk-UA"/>
        </w:rPr>
        <w:t>290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F24430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E55937">
        <w:rPr>
          <w:rFonts w:ascii="Century" w:hAnsi="Century"/>
          <w:b/>
          <w:szCs w:val="26"/>
          <w:lang w:val="uk-UA"/>
        </w:rPr>
        <w:t>Лісновичі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E55937">
        <w:rPr>
          <w:rFonts w:ascii="Century" w:hAnsi="Century"/>
          <w:szCs w:val="26"/>
          <w:lang w:val="uk-UA"/>
        </w:rPr>
        <w:t>Лісновичі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E55937">
        <w:rPr>
          <w:rFonts w:ascii="Century" w:hAnsi="Century"/>
          <w:szCs w:val="26"/>
          <w:lang w:val="uk-UA"/>
        </w:rPr>
        <w:t>1,29</w:t>
      </w:r>
      <w:r w:rsidR="00EA18D5">
        <w:rPr>
          <w:rFonts w:ascii="Century" w:hAnsi="Century"/>
          <w:szCs w:val="26"/>
          <w:lang w:val="uk-UA"/>
        </w:rPr>
        <w:t>00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E55937">
        <w:rPr>
          <w:rFonts w:ascii="Century" w:hAnsi="Century"/>
          <w:szCs w:val="26"/>
          <w:lang w:val="uk-UA"/>
        </w:rPr>
        <w:t>87200:28:005:0041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55937">
        <w:rPr>
          <w:rFonts w:ascii="Century" w:hAnsi="Century"/>
          <w:szCs w:val="26"/>
          <w:lang w:val="uk-UA"/>
        </w:rPr>
        <w:t>2,2170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5937" w:rsidRPr="000F738E">
        <w:rPr>
          <w:rFonts w:ascii="Century" w:hAnsi="Century"/>
          <w:szCs w:val="26"/>
          <w:lang w:val="uk-UA"/>
        </w:rPr>
        <w:t>46209</w:t>
      </w:r>
      <w:r w:rsidR="00E55937">
        <w:rPr>
          <w:rFonts w:ascii="Century" w:hAnsi="Century"/>
          <w:szCs w:val="26"/>
          <w:lang w:val="uk-UA"/>
        </w:rPr>
        <w:t>87200:28:005:0042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55937">
        <w:rPr>
          <w:rFonts w:ascii="Century" w:hAnsi="Century"/>
          <w:szCs w:val="26"/>
          <w:lang w:val="uk-UA"/>
        </w:rPr>
        <w:t>2,615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5937" w:rsidRPr="000F738E">
        <w:rPr>
          <w:rFonts w:ascii="Century" w:hAnsi="Century"/>
          <w:szCs w:val="26"/>
          <w:lang w:val="uk-UA"/>
        </w:rPr>
        <w:t>46209</w:t>
      </w:r>
      <w:r w:rsidR="00E55937">
        <w:rPr>
          <w:rFonts w:ascii="Century" w:hAnsi="Century"/>
          <w:szCs w:val="26"/>
          <w:lang w:val="uk-UA"/>
        </w:rPr>
        <w:t>87200:28:005:0043</w:t>
      </w:r>
    </w:p>
    <w:p w:rsidR="00FA1B4E" w:rsidRDefault="00FA1B4E" w:rsidP="00FA1B4E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55937">
        <w:rPr>
          <w:rFonts w:ascii="Century" w:hAnsi="Century"/>
          <w:szCs w:val="26"/>
          <w:lang w:val="uk-UA"/>
        </w:rPr>
        <w:t>4,25</w:t>
      </w:r>
      <w:r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55937" w:rsidRPr="000F738E">
        <w:rPr>
          <w:rFonts w:ascii="Century" w:hAnsi="Century"/>
          <w:szCs w:val="26"/>
          <w:lang w:val="uk-UA"/>
        </w:rPr>
        <w:t>46209</w:t>
      </w:r>
      <w:r w:rsidR="00E55937">
        <w:rPr>
          <w:rFonts w:ascii="Century" w:hAnsi="Century"/>
          <w:szCs w:val="26"/>
          <w:lang w:val="uk-UA"/>
        </w:rPr>
        <w:t>87200:28:003:0027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E55937">
        <w:rPr>
          <w:rFonts w:ascii="Century" w:hAnsi="Century"/>
          <w:szCs w:val="26"/>
          <w:lang w:val="uk-UA"/>
        </w:rPr>
        <w:t>Лісновичі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270"/>
    <w:rsid w:val="000F738E"/>
    <w:rsid w:val="00171017"/>
    <w:rsid w:val="00246BA0"/>
    <w:rsid w:val="002524F1"/>
    <w:rsid w:val="00302371"/>
    <w:rsid w:val="00364891"/>
    <w:rsid w:val="00404F77"/>
    <w:rsid w:val="00487D33"/>
    <w:rsid w:val="00516B66"/>
    <w:rsid w:val="00557394"/>
    <w:rsid w:val="005A5697"/>
    <w:rsid w:val="006769B8"/>
    <w:rsid w:val="008442AA"/>
    <w:rsid w:val="00AE5E0B"/>
    <w:rsid w:val="00B60FAD"/>
    <w:rsid w:val="00BB5C3E"/>
    <w:rsid w:val="00BC67B4"/>
    <w:rsid w:val="00C32D83"/>
    <w:rsid w:val="00C41A6C"/>
    <w:rsid w:val="00C53B0F"/>
    <w:rsid w:val="00C76BE1"/>
    <w:rsid w:val="00CA78B5"/>
    <w:rsid w:val="00D03235"/>
    <w:rsid w:val="00DE54B8"/>
    <w:rsid w:val="00E44EA1"/>
    <w:rsid w:val="00E55937"/>
    <w:rsid w:val="00E940B0"/>
    <w:rsid w:val="00EA18D5"/>
    <w:rsid w:val="00F24430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2023-08-07T12:18:00Z</dcterms:created>
  <dcterms:modified xsi:type="dcterms:W3CDTF">2023-08-25T12:18:00Z</dcterms:modified>
</cp:coreProperties>
</file>